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EAF6" w:themeColor="accent5" w:themeTint="33"/>
  <w:body>
    <w:p w14:paraId="66A80956" w14:textId="725D6F3F" w:rsidR="005F29BE" w:rsidRPr="0099026E" w:rsidRDefault="00D21B3E" w:rsidP="00D21B3E">
      <w:pPr>
        <w:pStyle w:val="ListParagraph"/>
        <w:numPr>
          <w:ilvl w:val="0"/>
          <w:numId w:val="12"/>
        </w:numPr>
        <w:ind w:left="284"/>
        <w:jc w:val="both"/>
        <w:rPr>
          <w:rFonts w:ascii="Times New Roman" w:hAnsi="Times New Roman" w:cs="Times New Roman"/>
          <w:b/>
          <w:bCs/>
          <w:sz w:val="24"/>
          <w:szCs w:val="24"/>
        </w:rPr>
      </w:pPr>
      <w:r w:rsidRPr="0099026E">
        <w:rPr>
          <w:rFonts w:ascii="Times New Roman" w:hAnsi="Times New Roman" w:cs="Times New Roman"/>
          <w:b/>
          <w:bCs/>
          <w:sz w:val="24"/>
          <w:szCs w:val="24"/>
        </w:rPr>
        <w:t>PREFACE</w:t>
      </w:r>
    </w:p>
    <w:p w14:paraId="577B0CC2" w14:textId="77777777" w:rsidR="005F29BE" w:rsidRPr="0099026E" w:rsidRDefault="005F29BE" w:rsidP="005F29BE">
      <w:pPr>
        <w:jc w:val="both"/>
        <w:rPr>
          <w:rFonts w:ascii="Times New Roman" w:hAnsi="Times New Roman" w:cs="Times New Roman"/>
          <w:sz w:val="24"/>
          <w:szCs w:val="24"/>
        </w:rPr>
      </w:pPr>
      <w:r w:rsidRPr="0099026E">
        <w:rPr>
          <w:rFonts w:ascii="Times New Roman" w:hAnsi="Times New Roman" w:cs="Times New Roman"/>
          <w:sz w:val="24"/>
          <w:szCs w:val="24"/>
        </w:rPr>
        <w:t>The Board of Directors of the Company has constituted various committees in compliance with applicable statutory and regulatory requirements. These committees are established with clearly defined roles and responsibilities to provide focused oversight and to support the Board in guiding the Company's strategic direction and governance framework. The Board reserves the right to constitute additional committees or dissolve existing ones, as may be necessary for the effective discharge of its functions.</w:t>
      </w:r>
    </w:p>
    <w:p w14:paraId="26A54ED6" w14:textId="77777777" w:rsidR="005F29BE" w:rsidRPr="0099026E" w:rsidRDefault="005F29BE" w:rsidP="005F29BE">
      <w:pPr>
        <w:jc w:val="both"/>
        <w:rPr>
          <w:rFonts w:ascii="Times New Roman" w:hAnsi="Times New Roman" w:cs="Times New Roman"/>
          <w:sz w:val="24"/>
          <w:szCs w:val="24"/>
        </w:rPr>
      </w:pPr>
      <w:r w:rsidRPr="0099026E">
        <w:rPr>
          <w:rFonts w:ascii="Times New Roman" w:hAnsi="Times New Roman" w:cs="Times New Roman"/>
          <w:sz w:val="24"/>
          <w:szCs w:val="24"/>
        </w:rPr>
        <w:t>As on date, the Company has constituted the following key committees in accordance with the SEBI (Listing Obligations and Disclosure Requirements) Regulations, 2015:</w:t>
      </w:r>
    </w:p>
    <w:p w14:paraId="2ECE31D9" w14:textId="77777777" w:rsidR="005F29BE" w:rsidRPr="0099026E" w:rsidRDefault="005F29BE" w:rsidP="005F29BE">
      <w:pPr>
        <w:numPr>
          <w:ilvl w:val="0"/>
          <w:numId w:val="1"/>
        </w:numPr>
        <w:jc w:val="both"/>
        <w:rPr>
          <w:rFonts w:ascii="Times New Roman" w:hAnsi="Times New Roman" w:cs="Times New Roman"/>
          <w:sz w:val="24"/>
          <w:szCs w:val="24"/>
        </w:rPr>
      </w:pPr>
      <w:r w:rsidRPr="0099026E">
        <w:rPr>
          <w:rFonts w:ascii="Times New Roman" w:hAnsi="Times New Roman" w:cs="Times New Roman"/>
          <w:b/>
          <w:bCs/>
          <w:sz w:val="24"/>
          <w:szCs w:val="24"/>
        </w:rPr>
        <w:t>Audit Committee</w:t>
      </w:r>
    </w:p>
    <w:p w14:paraId="375B1DF6" w14:textId="77777777" w:rsidR="005F29BE" w:rsidRPr="0099026E" w:rsidRDefault="005F29BE" w:rsidP="005F29BE">
      <w:pPr>
        <w:numPr>
          <w:ilvl w:val="0"/>
          <w:numId w:val="1"/>
        </w:numPr>
        <w:jc w:val="both"/>
        <w:rPr>
          <w:rFonts w:ascii="Times New Roman" w:hAnsi="Times New Roman" w:cs="Times New Roman"/>
          <w:sz w:val="24"/>
          <w:szCs w:val="24"/>
        </w:rPr>
      </w:pPr>
      <w:r w:rsidRPr="0099026E">
        <w:rPr>
          <w:rFonts w:ascii="Times New Roman" w:hAnsi="Times New Roman" w:cs="Times New Roman"/>
          <w:b/>
          <w:bCs/>
          <w:sz w:val="24"/>
          <w:szCs w:val="24"/>
        </w:rPr>
        <w:t>Nomination and Remuneration Committee</w:t>
      </w:r>
    </w:p>
    <w:p w14:paraId="3D992ED3" w14:textId="77777777" w:rsidR="005F29BE" w:rsidRPr="0099026E" w:rsidRDefault="005F29BE" w:rsidP="005F29BE">
      <w:pPr>
        <w:numPr>
          <w:ilvl w:val="0"/>
          <w:numId w:val="1"/>
        </w:numPr>
        <w:jc w:val="both"/>
        <w:rPr>
          <w:rFonts w:ascii="Times New Roman" w:hAnsi="Times New Roman" w:cs="Times New Roman"/>
          <w:sz w:val="24"/>
          <w:szCs w:val="24"/>
        </w:rPr>
      </w:pPr>
      <w:r w:rsidRPr="0099026E">
        <w:rPr>
          <w:rFonts w:ascii="Times New Roman" w:hAnsi="Times New Roman" w:cs="Times New Roman"/>
          <w:b/>
          <w:bCs/>
          <w:sz w:val="24"/>
          <w:szCs w:val="24"/>
        </w:rPr>
        <w:t>Stakeholders Relationship Committee</w:t>
      </w:r>
    </w:p>
    <w:p w14:paraId="7ED49C30" w14:textId="6254959E" w:rsidR="00F80952" w:rsidRPr="0099026E" w:rsidRDefault="00F80952" w:rsidP="00F80952">
      <w:pPr>
        <w:jc w:val="both"/>
        <w:rPr>
          <w:rFonts w:ascii="Times New Roman" w:hAnsi="Times New Roman" w:cs="Times New Roman"/>
          <w:sz w:val="24"/>
          <w:szCs w:val="24"/>
        </w:rPr>
      </w:pPr>
    </w:p>
    <w:p w14:paraId="3D78C870" w14:textId="3CD19D70" w:rsidR="00F80952" w:rsidRPr="0099026E" w:rsidRDefault="00F80952" w:rsidP="00F80952">
      <w:pPr>
        <w:jc w:val="both"/>
        <w:rPr>
          <w:rFonts w:ascii="Times New Roman" w:hAnsi="Times New Roman" w:cs="Times New Roman"/>
          <w:b/>
          <w:bCs/>
          <w:sz w:val="24"/>
          <w:szCs w:val="24"/>
        </w:rPr>
      </w:pPr>
      <w:r w:rsidRPr="0099026E">
        <w:rPr>
          <w:rFonts w:ascii="Times New Roman" w:hAnsi="Times New Roman" w:cs="Times New Roman"/>
          <w:b/>
          <w:bCs/>
          <w:sz w:val="24"/>
          <w:szCs w:val="24"/>
        </w:rPr>
        <w:t>1. AUDIT COMMITTEE</w:t>
      </w:r>
    </w:p>
    <w:p w14:paraId="5DAE32D9" w14:textId="77777777" w:rsidR="00F80952" w:rsidRPr="0099026E" w:rsidRDefault="00F80952" w:rsidP="004E257F">
      <w:pPr>
        <w:pStyle w:val="ListParagraph"/>
        <w:numPr>
          <w:ilvl w:val="0"/>
          <w:numId w:val="9"/>
        </w:numPr>
        <w:jc w:val="both"/>
        <w:rPr>
          <w:rFonts w:ascii="Times New Roman" w:hAnsi="Times New Roman" w:cs="Times New Roman"/>
          <w:b/>
          <w:bCs/>
          <w:sz w:val="24"/>
          <w:szCs w:val="24"/>
          <w:u w:val="single"/>
        </w:rPr>
      </w:pPr>
      <w:r w:rsidRPr="0099026E">
        <w:rPr>
          <w:rFonts w:ascii="Times New Roman" w:hAnsi="Times New Roman" w:cs="Times New Roman"/>
          <w:b/>
          <w:bCs/>
          <w:sz w:val="24"/>
          <w:szCs w:val="24"/>
          <w:u w:val="single"/>
        </w:rPr>
        <w:t>Objective</w:t>
      </w:r>
    </w:p>
    <w:p w14:paraId="7EE19794" w14:textId="77777777" w:rsidR="00F80952" w:rsidRPr="0099026E" w:rsidRDefault="00F80952" w:rsidP="004E257F">
      <w:pPr>
        <w:ind w:left="709"/>
        <w:jc w:val="both"/>
        <w:rPr>
          <w:rFonts w:ascii="Times New Roman" w:hAnsi="Times New Roman" w:cs="Times New Roman"/>
          <w:sz w:val="24"/>
          <w:szCs w:val="24"/>
        </w:rPr>
      </w:pPr>
      <w:r w:rsidRPr="0099026E">
        <w:rPr>
          <w:rFonts w:ascii="Times New Roman" w:hAnsi="Times New Roman" w:cs="Times New Roman"/>
          <w:sz w:val="24"/>
          <w:szCs w:val="24"/>
        </w:rPr>
        <w:t>The primary objective of the Audit Committee is to provide independent oversight of the Company’s financial reporting process, internal controls, risk management framework, and audit functions to ensure transparency, accuracy, and integrity in financial disclosures.</w:t>
      </w:r>
    </w:p>
    <w:p w14:paraId="2F81066C" w14:textId="77777777" w:rsidR="00F80952" w:rsidRPr="0099026E" w:rsidRDefault="00F80952" w:rsidP="004E257F">
      <w:pPr>
        <w:pStyle w:val="ListParagraph"/>
        <w:numPr>
          <w:ilvl w:val="0"/>
          <w:numId w:val="8"/>
        </w:numPr>
        <w:jc w:val="both"/>
        <w:rPr>
          <w:rFonts w:ascii="Times New Roman" w:hAnsi="Times New Roman" w:cs="Times New Roman"/>
          <w:b/>
          <w:bCs/>
          <w:sz w:val="24"/>
          <w:szCs w:val="24"/>
          <w:u w:val="single"/>
        </w:rPr>
      </w:pPr>
      <w:r w:rsidRPr="0099026E">
        <w:rPr>
          <w:rFonts w:ascii="Times New Roman" w:hAnsi="Times New Roman" w:cs="Times New Roman"/>
          <w:b/>
          <w:bCs/>
          <w:sz w:val="24"/>
          <w:szCs w:val="24"/>
          <w:u w:val="single"/>
        </w:rPr>
        <w:t>Powers of the Committee</w:t>
      </w:r>
    </w:p>
    <w:p w14:paraId="03E0283E" w14:textId="77777777" w:rsidR="00F80952" w:rsidRPr="0099026E" w:rsidRDefault="00F80952" w:rsidP="004E257F">
      <w:pPr>
        <w:ind w:left="709"/>
        <w:jc w:val="both"/>
        <w:rPr>
          <w:rFonts w:ascii="Times New Roman" w:hAnsi="Times New Roman" w:cs="Times New Roman"/>
          <w:sz w:val="24"/>
          <w:szCs w:val="24"/>
        </w:rPr>
      </w:pPr>
      <w:r w:rsidRPr="0099026E">
        <w:rPr>
          <w:rFonts w:ascii="Times New Roman" w:hAnsi="Times New Roman" w:cs="Times New Roman"/>
          <w:sz w:val="24"/>
          <w:szCs w:val="24"/>
        </w:rPr>
        <w:t>As per Regulation 18 of SEBI (LODR) Regulations, 2015 and Section 177 of the Companies Act, 2013, the Audit Committee shall have the authority to:</w:t>
      </w:r>
    </w:p>
    <w:p w14:paraId="49747F2E" w14:textId="77777777" w:rsidR="00F80952" w:rsidRPr="0099026E" w:rsidRDefault="00F80952" w:rsidP="004E257F">
      <w:pPr>
        <w:numPr>
          <w:ilvl w:val="0"/>
          <w:numId w:val="2"/>
        </w:numPr>
        <w:ind w:left="851" w:firstLine="283"/>
        <w:jc w:val="both"/>
        <w:rPr>
          <w:rFonts w:ascii="Times New Roman" w:hAnsi="Times New Roman" w:cs="Times New Roman"/>
          <w:sz w:val="24"/>
          <w:szCs w:val="24"/>
        </w:rPr>
      </w:pPr>
      <w:r w:rsidRPr="0099026E">
        <w:rPr>
          <w:rFonts w:ascii="Times New Roman" w:hAnsi="Times New Roman" w:cs="Times New Roman"/>
          <w:sz w:val="24"/>
          <w:szCs w:val="24"/>
        </w:rPr>
        <w:t>Investigate any activity within its terms of reference.</w:t>
      </w:r>
    </w:p>
    <w:p w14:paraId="153FEB72" w14:textId="77777777" w:rsidR="00F80952" w:rsidRPr="0099026E" w:rsidRDefault="00F80952" w:rsidP="004E257F">
      <w:pPr>
        <w:numPr>
          <w:ilvl w:val="0"/>
          <w:numId w:val="2"/>
        </w:numPr>
        <w:ind w:left="851" w:firstLine="283"/>
        <w:jc w:val="both"/>
        <w:rPr>
          <w:rFonts w:ascii="Times New Roman" w:hAnsi="Times New Roman" w:cs="Times New Roman"/>
          <w:sz w:val="24"/>
          <w:szCs w:val="24"/>
        </w:rPr>
      </w:pPr>
      <w:r w:rsidRPr="0099026E">
        <w:rPr>
          <w:rFonts w:ascii="Times New Roman" w:hAnsi="Times New Roman" w:cs="Times New Roman"/>
          <w:sz w:val="24"/>
          <w:szCs w:val="24"/>
        </w:rPr>
        <w:t>Seek information from any employee.</w:t>
      </w:r>
    </w:p>
    <w:p w14:paraId="50381ED3" w14:textId="77777777" w:rsidR="00F80952" w:rsidRPr="0099026E" w:rsidRDefault="00F80952" w:rsidP="004E257F">
      <w:pPr>
        <w:numPr>
          <w:ilvl w:val="0"/>
          <w:numId w:val="2"/>
        </w:numPr>
        <w:ind w:left="851" w:firstLine="283"/>
        <w:jc w:val="both"/>
        <w:rPr>
          <w:rFonts w:ascii="Times New Roman" w:hAnsi="Times New Roman" w:cs="Times New Roman"/>
          <w:sz w:val="24"/>
          <w:szCs w:val="24"/>
        </w:rPr>
      </w:pPr>
      <w:r w:rsidRPr="0099026E">
        <w:rPr>
          <w:rFonts w:ascii="Times New Roman" w:hAnsi="Times New Roman" w:cs="Times New Roman"/>
          <w:sz w:val="24"/>
          <w:szCs w:val="24"/>
        </w:rPr>
        <w:t>Obtain outside legal or professional advice.</w:t>
      </w:r>
    </w:p>
    <w:p w14:paraId="14035727" w14:textId="77777777" w:rsidR="00F80952" w:rsidRPr="0099026E" w:rsidRDefault="00F80952" w:rsidP="004E257F">
      <w:pPr>
        <w:numPr>
          <w:ilvl w:val="0"/>
          <w:numId w:val="2"/>
        </w:numPr>
        <w:ind w:left="851" w:firstLine="283"/>
        <w:jc w:val="both"/>
        <w:rPr>
          <w:rFonts w:ascii="Times New Roman" w:hAnsi="Times New Roman" w:cs="Times New Roman"/>
          <w:sz w:val="24"/>
          <w:szCs w:val="24"/>
        </w:rPr>
      </w:pPr>
      <w:r w:rsidRPr="0099026E">
        <w:rPr>
          <w:rFonts w:ascii="Times New Roman" w:hAnsi="Times New Roman" w:cs="Times New Roman"/>
          <w:sz w:val="24"/>
          <w:szCs w:val="24"/>
        </w:rPr>
        <w:t>Secure attendance of outsiders with relevant expertise, if necessary.</w:t>
      </w:r>
    </w:p>
    <w:p w14:paraId="5F33261E" w14:textId="7C60C7AF" w:rsidR="00F80952" w:rsidRPr="0099026E" w:rsidRDefault="005F7716" w:rsidP="004E257F">
      <w:pPr>
        <w:pStyle w:val="ListParagraph"/>
        <w:numPr>
          <w:ilvl w:val="0"/>
          <w:numId w:val="8"/>
        </w:numPr>
        <w:jc w:val="both"/>
        <w:rPr>
          <w:rFonts w:ascii="Times New Roman" w:hAnsi="Times New Roman" w:cs="Times New Roman"/>
          <w:b/>
          <w:bCs/>
          <w:sz w:val="24"/>
          <w:szCs w:val="24"/>
          <w:u w:val="single"/>
        </w:rPr>
      </w:pPr>
      <w:r w:rsidRPr="0099026E">
        <w:rPr>
          <w:rFonts w:ascii="Times New Roman" w:hAnsi="Times New Roman" w:cs="Times New Roman"/>
          <w:b/>
          <w:bCs/>
          <w:sz w:val="24"/>
          <w:szCs w:val="24"/>
          <w:u w:val="single"/>
        </w:rPr>
        <w:t>Operational Framework</w:t>
      </w:r>
    </w:p>
    <w:p w14:paraId="484A3A85" w14:textId="77777777" w:rsidR="00F80952" w:rsidRPr="0099026E" w:rsidRDefault="00F80952" w:rsidP="004E257F">
      <w:pPr>
        <w:ind w:left="709"/>
        <w:jc w:val="both"/>
        <w:rPr>
          <w:rFonts w:ascii="Times New Roman" w:hAnsi="Times New Roman" w:cs="Times New Roman"/>
          <w:sz w:val="24"/>
          <w:szCs w:val="24"/>
        </w:rPr>
      </w:pPr>
      <w:r w:rsidRPr="0099026E">
        <w:rPr>
          <w:rFonts w:ascii="Times New Roman" w:hAnsi="Times New Roman" w:cs="Times New Roman"/>
          <w:sz w:val="24"/>
          <w:szCs w:val="24"/>
        </w:rPr>
        <w:t>The Audit Committee shall, inter alia, perform the following functions:</w:t>
      </w:r>
    </w:p>
    <w:p w14:paraId="62B3D030" w14:textId="369D3475" w:rsidR="00F80952" w:rsidRPr="0099026E" w:rsidRDefault="004A7C2E" w:rsidP="004A7C2E">
      <w:pPr>
        <w:numPr>
          <w:ilvl w:val="0"/>
          <w:numId w:val="3"/>
        </w:numPr>
        <w:tabs>
          <w:tab w:val="clear" w:pos="720"/>
          <w:tab w:val="num" w:pos="1276"/>
        </w:tabs>
        <w:ind w:left="1418" w:hanging="284"/>
        <w:jc w:val="both"/>
        <w:rPr>
          <w:rFonts w:ascii="Times New Roman" w:hAnsi="Times New Roman" w:cs="Times New Roman"/>
          <w:sz w:val="24"/>
          <w:szCs w:val="24"/>
        </w:rPr>
      </w:pPr>
      <w:r w:rsidRPr="0099026E">
        <w:rPr>
          <w:rFonts w:ascii="Times New Roman" w:hAnsi="Times New Roman" w:cs="Times New Roman"/>
          <w:sz w:val="24"/>
          <w:szCs w:val="24"/>
        </w:rPr>
        <w:t xml:space="preserve">  </w:t>
      </w:r>
      <w:r w:rsidR="00F80952" w:rsidRPr="0099026E">
        <w:rPr>
          <w:rFonts w:ascii="Times New Roman" w:hAnsi="Times New Roman" w:cs="Times New Roman"/>
          <w:sz w:val="24"/>
          <w:szCs w:val="24"/>
        </w:rPr>
        <w:t xml:space="preserve">Oversee the Company’s financial reporting process and disclosure of </w:t>
      </w:r>
      <w:r w:rsidRPr="0099026E">
        <w:rPr>
          <w:rFonts w:ascii="Times New Roman" w:hAnsi="Times New Roman" w:cs="Times New Roman"/>
          <w:sz w:val="24"/>
          <w:szCs w:val="24"/>
        </w:rPr>
        <w:t xml:space="preserve">     financial information</w:t>
      </w:r>
      <w:r w:rsidR="00F80952" w:rsidRPr="0099026E">
        <w:rPr>
          <w:rFonts w:ascii="Times New Roman" w:hAnsi="Times New Roman" w:cs="Times New Roman"/>
          <w:sz w:val="24"/>
          <w:szCs w:val="24"/>
        </w:rPr>
        <w:t>.</w:t>
      </w:r>
    </w:p>
    <w:p w14:paraId="2746B368" w14:textId="72693D3B" w:rsidR="00F80952" w:rsidRPr="0099026E" w:rsidRDefault="004A7C2E" w:rsidP="004A7C2E">
      <w:pPr>
        <w:numPr>
          <w:ilvl w:val="0"/>
          <w:numId w:val="3"/>
        </w:numPr>
        <w:tabs>
          <w:tab w:val="clear" w:pos="720"/>
          <w:tab w:val="num" w:pos="1276"/>
        </w:tabs>
        <w:ind w:left="1418" w:hanging="284"/>
        <w:jc w:val="both"/>
        <w:rPr>
          <w:rFonts w:ascii="Times New Roman" w:hAnsi="Times New Roman" w:cs="Times New Roman"/>
          <w:sz w:val="24"/>
          <w:szCs w:val="24"/>
        </w:rPr>
      </w:pPr>
      <w:r w:rsidRPr="0099026E">
        <w:rPr>
          <w:rFonts w:ascii="Times New Roman" w:hAnsi="Times New Roman" w:cs="Times New Roman"/>
          <w:sz w:val="24"/>
          <w:szCs w:val="24"/>
        </w:rPr>
        <w:t xml:space="preserve">  </w:t>
      </w:r>
      <w:r w:rsidR="00F80952" w:rsidRPr="0099026E">
        <w:rPr>
          <w:rFonts w:ascii="Times New Roman" w:hAnsi="Times New Roman" w:cs="Times New Roman"/>
          <w:sz w:val="24"/>
          <w:szCs w:val="24"/>
        </w:rPr>
        <w:t>Review and recommend quarterly and annual financial statements before submission to the Board.</w:t>
      </w:r>
    </w:p>
    <w:p w14:paraId="5E5D5AD2" w14:textId="77777777" w:rsidR="00F80952" w:rsidRPr="0099026E" w:rsidRDefault="00F80952" w:rsidP="004A7C2E">
      <w:pPr>
        <w:numPr>
          <w:ilvl w:val="0"/>
          <w:numId w:val="3"/>
        </w:numPr>
        <w:tabs>
          <w:tab w:val="clear" w:pos="720"/>
        </w:tabs>
        <w:ind w:firstLine="414"/>
        <w:jc w:val="both"/>
        <w:rPr>
          <w:rFonts w:ascii="Times New Roman" w:hAnsi="Times New Roman" w:cs="Times New Roman"/>
          <w:sz w:val="24"/>
          <w:szCs w:val="24"/>
        </w:rPr>
      </w:pPr>
      <w:r w:rsidRPr="0099026E">
        <w:rPr>
          <w:rFonts w:ascii="Times New Roman" w:hAnsi="Times New Roman" w:cs="Times New Roman"/>
          <w:sz w:val="24"/>
          <w:szCs w:val="24"/>
        </w:rPr>
        <w:t>Examine internal audit reports and significant findings.</w:t>
      </w:r>
    </w:p>
    <w:p w14:paraId="3E72136A" w14:textId="77777777" w:rsidR="00F80952" w:rsidRPr="0099026E" w:rsidRDefault="00F80952" w:rsidP="004A7C2E">
      <w:pPr>
        <w:numPr>
          <w:ilvl w:val="0"/>
          <w:numId w:val="3"/>
        </w:numPr>
        <w:tabs>
          <w:tab w:val="clear" w:pos="720"/>
        </w:tabs>
        <w:ind w:firstLine="414"/>
        <w:jc w:val="both"/>
        <w:rPr>
          <w:rFonts w:ascii="Times New Roman" w:hAnsi="Times New Roman" w:cs="Times New Roman"/>
          <w:sz w:val="24"/>
          <w:szCs w:val="24"/>
        </w:rPr>
      </w:pPr>
      <w:r w:rsidRPr="0099026E">
        <w:rPr>
          <w:rFonts w:ascii="Times New Roman" w:hAnsi="Times New Roman" w:cs="Times New Roman"/>
          <w:sz w:val="24"/>
          <w:szCs w:val="24"/>
        </w:rPr>
        <w:t>Review internal control systems and the risk management framework.</w:t>
      </w:r>
    </w:p>
    <w:p w14:paraId="395F9D47" w14:textId="77777777" w:rsidR="00F80952" w:rsidRPr="0099026E" w:rsidRDefault="00F80952" w:rsidP="004A7C2E">
      <w:pPr>
        <w:numPr>
          <w:ilvl w:val="0"/>
          <w:numId w:val="3"/>
        </w:numPr>
        <w:tabs>
          <w:tab w:val="clear" w:pos="720"/>
        </w:tabs>
        <w:ind w:firstLine="414"/>
        <w:jc w:val="both"/>
        <w:rPr>
          <w:rFonts w:ascii="Times New Roman" w:hAnsi="Times New Roman" w:cs="Times New Roman"/>
          <w:sz w:val="24"/>
          <w:szCs w:val="24"/>
        </w:rPr>
      </w:pPr>
      <w:r w:rsidRPr="0099026E">
        <w:rPr>
          <w:rFonts w:ascii="Times New Roman" w:hAnsi="Times New Roman" w:cs="Times New Roman"/>
          <w:sz w:val="24"/>
          <w:szCs w:val="24"/>
        </w:rPr>
        <w:lastRenderedPageBreak/>
        <w:t>Recommend the appointment, remuneration, and terms of auditors.</w:t>
      </w:r>
    </w:p>
    <w:p w14:paraId="2421897B" w14:textId="77777777" w:rsidR="00F80952" w:rsidRPr="0099026E" w:rsidRDefault="00F80952" w:rsidP="004A7C2E">
      <w:pPr>
        <w:numPr>
          <w:ilvl w:val="0"/>
          <w:numId w:val="3"/>
        </w:numPr>
        <w:tabs>
          <w:tab w:val="clear" w:pos="720"/>
        </w:tabs>
        <w:ind w:firstLine="414"/>
        <w:jc w:val="both"/>
        <w:rPr>
          <w:rFonts w:ascii="Times New Roman" w:hAnsi="Times New Roman" w:cs="Times New Roman"/>
          <w:sz w:val="24"/>
          <w:szCs w:val="24"/>
        </w:rPr>
      </w:pPr>
      <w:r w:rsidRPr="0099026E">
        <w:rPr>
          <w:rFonts w:ascii="Times New Roman" w:hAnsi="Times New Roman" w:cs="Times New Roman"/>
          <w:sz w:val="24"/>
          <w:szCs w:val="24"/>
        </w:rPr>
        <w:t>Evaluate the independence and performance of auditors.</w:t>
      </w:r>
    </w:p>
    <w:p w14:paraId="35A4019C" w14:textId="77777777" w:rsidR="00F80952" w:rsidRPr="0099026E" w:rsidRDefault="00F80952" w:rsidP="00946814">
      <w:pPr>
        <w:numPr>
          <w:ilvl w:val="0"/>
          <w:numId w:val="3"/>
        </w:numPr>
        <w:ind w:firstLine="414"/>
        <w:jc w:val="both"/>
        <w:rPr>
          <w:rFonts w:ascii="Times New Roman" w:hAnsi="Times New Roman" w:cs="Times New Roman"/>
          <w:sz w:val="24"/>
          <w:szCs w:val="24"/>
        </w:rPr>
      </w:pPr>
      <w:r w:rsidRPr="0099026E">
        <w:rPr>
          <w:rFonts w:ascii="Times New Roman" w:hAnsi="Times New Roman" w:cs="Times New Roman"/>
          <w:sz w:val="24"/>
          <w:szCs w:val="24"/>
        </w:rPr>
        <w:t>Review related party transactions and ensure compliance with applicable laws.</w:t>
      </w:r>
    </w:p>
    <w:p w14:paraId="6FDE93E9" w14:textId="77777777" w:rsidR="00F80952" w:rsidRPr="0099026E" w:rsidRDefault="00F80952" w:rsidP="00946814">
      <w:pPr>
        <w:numPr>
          <w:ilvl w:val="0"/>
          <w:numId w:val="3"/>
        </w:numPr>
        <w:ind w:firstLine="414"/>
        <w:jc w:val="both"/>
        <w:rPr>
          <w:rFonts w:ascii="Times New Roman" w:hAnsi="Times New Roman" w:cs="Times New Roman"/>
          <w:sz w:val="24"/>
          <w:szCs w:val="24"/>
        </w:rPr>
      </w:pPr>
      <w:r w:rsidRPr="0099026E">
        <w:rPr>
          <w:rFonts w:ascii="Times New Roman" w:hAnsi="Times New Roman" w:cs="Times New Roman"/>
          <w:sz w:val="24"/>
          <w:szCs w:val="24"/>
        </w:rPr>
        <w:t>Monitor the end use of funds raised through public/rights/preferential issues.</w:t>
      </w:r>
    </w:p>
    <w:p w14:paraId="48DD5478" w14:textId="494346C1" w:rsidR="00F80952" w:rsidRPr="0099026E" w:rsidRDefault="00F80952" w:rsidP="00F80952">
      <w:pPr>
        <w:jc w:val="both"/>
        <w:rPr>
          <w:rFonts w:ascii="Times New Roman" w:hAnsi="Times New Roman" w:cs="Times New Roman"/>
          <w:sz w:val="24"/>
          <w:szCs w:val="24"/>
        </w:rPr>
      </w:pPr>
    </w:p>
    <w:p w14:paraId="6DFE5F20" w14:textId="71733391" w:rsidR="00F80952" w:rsidRPr="0099026E" w:rsidRDefault="00D21B3E" w:rsidP="00F80952">
      <w:pPr>
        <w:jc w:val="both"/>
        <w:rPr>
          <w:rFonts w:ascii="Times New Roman" w:hAnsi="Times New Roman" w:cs="Times New Roman"/>
          <w:b/>
          <w:bCs/>
          <w:sz w:val="24"/>
          <w:szCs w:val="24"/>
        </w:rPr>
      </w:pPr>
      <w:r w:rsidRPr="0099026E">
        <w:rPr>
          <w:rFonts w:ascii="Times New Roman" w:hAnsi="Times New Roman" w:cs="Times New Roman"/>
          <w:b/>
          <w:bCs/>
          <w:sz w:val="24"/>
          <w:szCs w:val="24"/>
        </w:rPr>
        <w:t>2. NOMINATION AND REMUNERATION COMMITTEE</w:t>
      </w:r>
    </w:p>
    <w:p w14:paraId="52943F2B" w14:textId="77777777" w:rsidR="00F80952" w:rsidRPr="0099026E" w:rsidRDefault="00F80952" w:rsidP="00D21B3E">
      <w:pPr>
        <w:pStyle w:val="ListParagraph"/>
        <w:numPr>
          <w:ilvl w:val="0"/>
          <w:numId w:val="8"/>
        </w:numPr>
        <w:jc w:val="both"/>
        <w:rPr>
          <w:rFonts w:ascii="Times New Roman" w:hAnsi="Times New Roman" w:cs="Times New Roman"/>
          <w:b/>
          <w:bCs/>
          <w:sz w:val="24"/>
          <w:szCs w:val="24"/>
          <w:u w:val="single"/>
        </w:rPr>
      </w:pPr>
      <w:r w:rsidRPr="0099026E">
        <w:rPr>
          <w:rFonts w:ascii="Times New Roman" w:hAnsi="Times New Roman" w:cs="Times New Roman"/>
          <w:b/>
          <w:bCs/>
          <w:sz w:val="24"/>
          <w:szCs w:val="24"/>
          <w:u w:val="single"/>
        </w:rPr>
        <w:t>Objective</w:t>
      </w:r>
    </w:p>
    <w:p w14:paraId="1C4827DE" w14:textId="77777777" w:rsidR="00F80952" w:rsidRPr="0099026E" w:rsidRDefault="00F80952" w:rsidP="00972F4D">
      <w:pPr>
        <w:ind w:left="709"/>
        <w:jc w:val="both"/>
        <w:rPr>
          <w:rFonts w:ascii="Times New Roman" w:hAnsi="Times New Roman" w:cs="Times New Roman"/>
          <w:sz w:val="24"/>
          <w:szCs w:val="24"/>
        </w:rPr>
      </w:pPr>
      <w:r w:rsidRPr="0099026E">
        <w:rPr>
          <w:rFonts w:ascii="Times New Roman" w:hAnsi="Times New Roman" w:cs="Times New Roman"/>
          <w:sz w:val="24"/>
          <w:szCs w:val="24"/>
        </w:rPr>
        <w:t>The Nomination and Remuneration Committee (NRC) is constituted to oversee the Company's policies and processes for appointment, evaluation, and compensation of Directors, Key Managerial Personnel (KMP), and senior management, ensuring that they align with long-term interests and business strategy.</w:t>
      </w:r>
    </w:p>
    <w:p w14:paraId="172E41EC" w14:textId="77777777" w:rsidR="00F80952" w:rsidRPr="0099026E" w:rsidRDefault="00F80952" w:rsidP="00D21B3E">
      <w:pPr>
        <w:pStyle w:val="ListParagraph"/>
        <w:numPr>
          <w:ilvl w:val="0"/>
          <w:numId w:val="10"/>
        </w:numPr>
        <w:jc w:val="both"/>
        <w:rPr>
          <w:rFonts w:ascii="Times New Roman" w:hAnsi="Times New Roman" w:cs="Times New Roman"/>
          <w:b/>
          <w:bCs/>
          <w:sz w:val="24"/>
          <w:szCs w:val="24"/>
          <w:u w:val="single"/>
        </w:rPr>
      </w:pPr>
      <w:r w:rsidRPr="0099026E">
        <w:rPr>
          <w:rFonts w:ascii="Times New Roman" w:hAnsi="Times New Roman" w:cs="Times New Roman"/>
          <w:b/>
          <w:bCs/>
          <w:sz w:val="24"/>
          <w:szCs w:val="24"/>
          <w:u w:val="single"/>
        </w:rPr>
        <w:t>Powers of the Committee</w:t>
      </w:r>
    </w:p>
    <w:p w14:paraId="64A3BF24" w14:textId="77777777" w:rsidR="00F80952" w:rsidRPr="0099026E" w:rsidRDefault="00F80952" w:rsidP="00972F4D">
      <w:pPr>
        <w:ind w:left="709"/>
        <w:jc w:val="both"/>
        <w:rPr>
          <w:rFonts w:ascii="Times New Roman" w:hAnsi="Times New Roman" w:cs="Times New Roman"/>
          <w:sz w:val="24"/>
          <w:szCs w:val="24"/>
        </w:rPr>
      </w:pPr>
      <w:r w:rsidRPr="0099026E">
        <w:rPr>
          <w:rFonts w:ascii="Times New Roman" w:hAnsi="Times New Roman" w:cs="Times New Roman"/>
          <w:sz w:val="24"/>
          <w:szCs w:val="24"/>
        </w:rPr>
        <w:t>The Committee shall have the authority to:</w:t>
      </w:r>
    </w:p>
    <w:p w14:paraId="78E8C20F" w14:textId="25678C42" w:rsidR="00F80952" w:rsidRPr="0099026E" w:rsidRDefault="00F80952" w:rsidP="00972F4D">
      <w:pPr>
        <w:numPr>
          <w:ilvl w:val="0"/>
          <w:numId w:val="4"/>
        </w:numPr>
        <w:tabs>
          <w:tab w:val="clear" w:pos="720"/>
        </w:tabs>
        <w:ind w:left="1276" w:hanging="283"/>
        <w:jc w:val="both"/>
        <w:rPr>
          <w:rFonts w:ascii="Times New Roman" w:hAnsi="Times New Roman" w:cs="Times New Roman"/>
          <w:sz w:val="24"/>
          <w:szCs w:val="24"/>
        </w:rPr>
      </w:pPr>
      <w:r w:rsidRPr="0099026E">
        <w:rPr>
          <w:rFonts w:ascii="Times New Roman" w:hAnsi="Times New Roman" w:cs="Times New Roman"/>
          <w:sz w:val="24"/>
          <w:szCs w:val="24"/>
        </w:rPr>
        <w:t xml:space="preserve">Formulate criteria for determining qualifications, positive attributes, and independence of a </w:t>
      </w:r>
      <w:r w:rsidR="00946814" w:rsidRPr="0099026E">
        <w:rPr>
          <w:rFonts w:ascii="Times New Roman" w:hAnsi="Times New Roman" w:cs="Times New Roman"/>
          <w:sz w:val="24"/>
          <w:szCs w:val="24"/>
        </w:rPr>
        <w:t>director</w:t>
      </w:r>
      <w:r w:rsidRPr="0099026E">
        <w:rPr>
          <w:rFonts w:ascii="Times New Roman" w:hAnsi="Times New Roman" w:cs="Times New Roman"/>
          <w:sz w:val="24"/>
          <w:szCs w:val="24"/>
        </w:rPr>
        <w:t>.</w:t>
      </w:r>
    </w:p>
    <w:p w14:paraId="1469AE91" w14:textId="77777777" w:rsidR="00F80952" w:rsidRPr="0099026E" w:rsidRDefault="00F80952" w:rsidP="00972F4D">
      <w:pPr>
        <w:numPr>
          <w:ilvl w:val="0"/>
          <w:numId w:val="4"/>
        </w:numPr>
        <w:tabs>
          <w:tab w:val="clear" w:pos="720"/>
        </w:tabs>
        <w:ind w:left="1276" w:hanging="283"/>
        <w:jc w:val="both"/>
        <w:rPr>
          <w:rFonts w:ascii="Times New Roman" w:hAnsi="Times New Roman" w:cs="Times New Roman"/>
          <w:sz w:val="24"/>
          <w:szCs w:val="24"/>
        </w:rPr>
      </w:pPr>
      <w:r w:rsidRPr="0099026E">
        <w:rPr>
          <w:rFonts w:ascii="Times New Roman" w:hAnsi="Times New Roman" w:cs="Times New Roman"/>
          <w:sz w:val="24"/>
          <w:szCs w:val="24"/>
        </w:rPr>
        <w:t>Identify and recommend candidates for directorship and senior management positions.</w:t>
      </w:r>
    </w:p>
    <w:p w14:paraId="355AA08E" w14:textId="0DA6A0A9" w:rsidR="00F80952" w:rsidRPr="0099026E" w:rsidRDefault="00F80952" w:rsidP="00946814">
      <w:pPr>
        <w:pStyle w:val="ListParagraph"/>
        <w:numPr>
          <w:ilvl w:val="0"/>
          <w:numId w:val="13"/>
        </w:numPr>
        <w:ind w:left="1417" w:hanging="425"/>
        <w:contextualSpacing w:val="0"/>
        <w:jc w:val="both"/>
        <w:rPr>
          <w:rFonts w:ascii="Times New Roman" w:hAnsi="Times New Roman" w:cs="Times New Roman"/>
          <w:sz w:val="24"/>
          <w:szCs w:val="24"/>
        </w:rPr>
      </w:pPr>
      <w:r w:rsidRPr="0099026E">
        <w:rPr>
          <w:rFonts w:ascii="Times New Roman" w:hAnsi="Times New Roman" w:cs="Times New Roman"/>
          <w:sz w:val="24"/>
          <w:szCs w:val="24"/>
        </w:rPr>
        <w:t>Determine remuneration policy for Directors, KMPs, and other employees.</w:t>
      </w:r>
    </w:p>
    <w:p w14:paraId="70CE440B" w14:textId="7C7A9B44" w:rsidR="00F80952" w:rsidRPr="0099026E" w:rsidRDefault="005F7716" w:rsidP="00D21B3E">
      <w:pPr>
        <w:pStyle w:val="ListParagraph"/>
        <w:numPr>
          <w:ilvl w:val="0"/>
          <w:numId w:val="11"/>
        </w:numPr>
        <w:jc w:val="both"/>
        <w:rPr>
          <w:rFonts w:ascii="Times New Roman" w:hAnsi="Times New Roman" w:cs="Times New Roman"/>
          <w:b/>
          <w:bCs/>
          <w:sz w:val="24"/>
          <w:szCs w:val="24"/>
          <w:u w:val="single"/>
        </w:rPr>
      </w:pPr>
      <w:r w:rsidRPr="0099026E">
        <w:rPr>
          <w:rFonts w:ascii="Times New Roman" w:hAnsi="Times New Roman" w:cs="Times New Roman"/>
          <w:b/>
          <w:bCs/>
          <w:sz w:val="24"/>
          <w:szCs w:val="24"/>
          <w:u w:val="single"/>
        </w:rPr>
        <w:t>Operational Framework</w:t>
      </w:r>
    </w:p>
    <w:p w14:paraId="34155FBF" w14:textId="77777777" w:rsidR="00F80952" w:rsidRPr="0099026E" w:rsidRDefault="00F80952" w:rsidP="00946814">
      <w:pPr>
        <w:ind w:left="709"/>
        <w:jc w:val="both"/>
        <w:rPr>
          <w:rFonts w:ascii="Times New Roman" w:hAnsi="Times New Roman" w:cs="Times New Roman"/>
          <w:sz w:val="24"/>
          <w:szCs w:val="24"/>
        </w:rPr>
      </w:pPr>
      <w:r w:rsidRPr="0099026E">
        <w:rPr>
          <w:rFonts w:ascii="Times New Roman" w:hAnsi="Times New Roman" w:cs="Times New Roman"/>
          <w:sz w:val="24"/>
          <w:szCs w:val="24"/>
        </w:rPr>
        <w:t>The NRC shall, inter alia, be responsible for:</w:t>
      </w:r>
    </w:p>
    <w:p w14:paraId="3306DEB5" w14:textId="77777777" w:rsidR="00F80952" w:rsidRPr="0099026E" w:rsidRDefault="00F80952" w:rsidP="00946814">
      <w:pPr>
        <w:numPr>
          <w:ilvl w:val="0"/>
          <w:numId w:val="5"/>
        </w:numPr>
        <w:tabs>
          <w:tab w:val="clear" w:pos="720"/>
          <w:tab w:val="num" w:pos="1276"/>
        </w:tabs>
        <w:ind w:firstLine="273"/>
        <w:jc w:val="both"/>
        <w:rPr>
          <w:rFonts w:ascii="Times New Roman" w:hAnsi="Times New Roman" w:cs="Times New Roman"/>
          <w:sz w:val="24"/>
          <w:szCs w:val="24"/>
        </w:rPr>
      </w:pPr>
      <w:r w:rsidRPr="0099026E">
        <w:rPr>
          <w:rFonts w:ascii="Times New Roman" w:hAnsi="Times New Roman" w:cs="Times New Roman"/>
          <w:sz w:val="24"/>
          <w:szCs w:val="24"/>
        </w:rPr>
        <w:t>Reviewing the structure, size, and composition (including diversity) of the Board.</w:t>
      </w:r>
    </w:p>
    <w:p w14:paraId="299A81B3" w14:textId="6167281F" w:rsidR="00F80952" w:rsidRPr="0099026E" w:rsidRDefault="00F80952" w:rsidP="00946814">
      <w:pPr>
        <w:numPr>
          <w:ilvl w:val="0"/>
          <w:numId w:val="5"/>
        </w:numPr>
        <w:tabs>
          <w:tab w:val="clear" w:pos="720"/>
          <w:tab w:val="num" w:pos="1276"/>
        </w:tabs>
        <w:ind w:left="1276" w:hanging="283"/>
        <w:jc w:val="both"/>
        <w:rPr>
          <w:rFonts w:ascii="Times New Roman" w:hAnsi="Times New Roman" w:cs="Times New Roman"/>
          <w:sz w:val="24"/>
          <w:szCs w:val="24"/>
        </w:rPr>
      </w:pPr>
      <w:r w:rsidRPr="0099026E">
        <w:rPr>
          <w:rFonts w:ascii="Times New Roman" w:hAnsi="Times New Roman" w:cs="Times New Roman"/>
          <w:sz w:val="24"/>
          <w:szCs w:val="24"/>
        </w:rPr>
        <w:t xml:space="preserve">Formulating the criteria for performance evaluation of Independent Directors and </w:t>
      </w:r>
      <w:r w:rsidR="00946814" w:rsidRPr="0099026E">
        <w:rPr>
          <w:rFonts w:ascii="Times New Roman" w:hAnsi="Times New Roman" w:cs="Times New Roman"/>
          <w:sz w:val="24"/>
          <w:szCs w:val="24"/>
        </w:rPr>
        <w:t xml:space="preserve">    </w:t>
      </w:r>
      <w:r w:rsidRPr="0099026E">
        <w:rPr>
          <w:rFonts w:ascii="Times New Roman" w:hAnsi="Times New Roman" w:cs="Times New Roman"/>
          <w:sz w:val="24"/>
          <w:szCs w:val="24"/>
        </w:rPr>
        <w:t>the Board.</w:t>
      </w:r>
    </w:p>
    <w:p w14:paraId="276E6F7E" w14:textId="77777777" w:rsidR="00F80952" w:rsidRPr="0099026E" w:rsidRDefault="00F80952" w:rsidP="00946814">
      <w:pPr>
        <w:numPr>
          <w:ilvl w:val="0"/>
          <w:numId w:val="5"/>
        </w:numPr>
        <w:ind w:firstLine="273"/>
        <w:jc w:val="both"/>
        <w:rPr>
          <w:rFonts w:ascii="Times New Roman" w:hAnsi="Times New Roman" w:cs="Times New Roman"/>
          <w:sz w:val="24"/>
          <w:szCs w:val="24"/>
        </w:rPr>
      </w:pPr>
      <w:r w:rsidRPr="0099026E">
        <w:rPr>
          <w:rFonts w:ascii="Times New Roman" w:hAnsi="Times New Roman" w:cs="Times New Roman"/>
          <w:sz w:val="24"/>
          <w:szCs w:val="24"/>
        </w:rPr>
        <w:t>Recommending appointment/removal of Directors and KMPs.</w:t>
      </w:r>
    </w:p>
    <w:p w14:paraId="52B808D8" w14:textId="77777777" w:rsidR="00F80952" w:rsidRPr="0099026E" w:rsidRDefault="00F80952" w:rsidP="00946814">
      <w:pPr>
        <w:numPr>
          <w:ilvl w:val="0"/>
          <w:numId w:val="5"/>
        </w:numPr>
        <w:tabs>
          <w:tab w:val="clear" w:pos="720"/>
        </w:tabs>
        <w:ind w:left="1276" w:hanging="283"/>
        <w:jc w:val="both"/>
        <w:rPr>
          <w:rFonts w:ascii="Times New Roman" w:hAnsi="Times New Roman" w:cs="Times New Roman"/>
          <w:sz w:val="24"/>
          <w:szCs w:val="24"/>
        </w:rPr>
      </w:pPr>
      <w:r w:rsidRPr="0099026E">
        <w:rPr>
          <w:rFonts w:ascii="Times New Roman" w:hAnsi="Times New Roman" w:cs="Times New Roman"/>
          <w:sz w:val="24"/>
          <w:szCs w:val="24"/>
        </w:rPr>
        <w:t>Determining compensation structure, bonuses, stock options, and other benefits.</w:t>
      </w:r>
    </w:p>
    <w:p w14:paraId="793818A9" w14:textId="77777777" w:rsidR="00F80952" w:rsidRPr="0099026E" w:rsidRDefault="00F80952" w:rsidP="00946814">
      <w:pPr>
        <w:numPr>
          <w:ilvl w:val="0"/>
          <w:numId w:val="5"/>
        </w:numPr>
        <w:ind w:firstLine="273"/>
        <w:jc w:val="both"/>
        <w:rPr>
          <w:rFonts w:ascii="Times New Roman" w:hAnsi="Times New Roman" w:cs="Times New Roman"/>
          <w:sz w:val="24"/>
          <w:szCs w:val="24"/>
        </w:rPr>
      </w:pPr>
      <w:r w:rsidRPr="0099026E">
        <w:rPr>
          <w:rFonts w:ascii="Times New Roman" w:hAnsi="Times New Roman" w:cs="Times New Roman"/>
          <w:sz w:val="24"/>
          <w:szCs w:val="24"/>
        </w:rPr>
        <w:t>Ensuring Board diversity and succession planning.</w:t>
      </w:r>
    </w:p>
    <w:p w14:paraId="7817158F" w14:textId="5C15DA9D" w:rsidR="00F80952" w:rsidRPr="0099026E" w:rsidRDefault="00F80952" w:rsidP="00F80952">
      <w:pPr>
        <w:jc w:val="both"/>
        <w:rPr>
          <w:rFonts w:ascii="Times New Roman" w:hAnsi="Times New Roman" w:cs="Times New Roman"/>
          <w:sz w:val="24"/>
          <w:szCs w:val="24"/>
        </w:rPr>
      </w:pPr>
    </w:p>
    <w:p w14:paraId="28A30D0E" w14:textId="13B36E28" w:rsidR="00F80952" w:rsidRPr="0099026E" w:rsidRDefault="00946814" w:rsidP="00F80952">
      <w:pPr>
        <w:jc w:val="both"/>
        <w:rPr>
          <w:rFonts w:ascii="Times New Roman" w:hAnsi="Times New Roman" w:cs="Times New Roman"/>
          <w:b/>
          <w:bCs/>
          <w:sz w:val="24"/>
          <w:szCs w:val="24"/>
        </w:rPr>
      </w:pPr>
      <w:r w:rsidRPr="0099026E">
        <w:rPr>
          <w:rFonts w:ascii="Times New Roman" w:hAnsi="Times New Roman" w:cs="Times New Roman"/>
          <w:b/>
          <w:bCs/>
          <w:sz w:val="24"/>
          <w:szCs w:val="24"/>
        </w:rPr>
        <w:t>3. STAKEHOLDERS RELATIONSHIP COMMITTEE</w:t>
      </w:r>
    </w:p>
    <w:p w14:paraId="1238A08A" w14:textId="77777777" w:rsidR="00F80952" w:rsidRPr="0099026E" w:rsidRDefault="00F80952" w:rsidP="00946814">
      <w:pPr>
        <w:pStyle w:val="ListParagraph"/>
        <w:numPr>
          <w:ilvl w:val="0"/>
          <w:numId w:val="11"/>
        </w:numPr>
        <w:jc w:val="both"/>
        <w:rPr>
          <w:rFonts w:ascii="Times New Roman" w:hAnsi="Times New Roman" w:cs="Times New Roman"/>
          <w:b/>
          <w:bCs/>
          <w:sz w:val="24"/>
          <w:szCs w:val="24"/>
          <w:u w:val="single"/>
        </w:rPr>
      </w:pPr>
      <w:r w:rsidRPr="0099026E">
        <w:rPr>
          <w:rFonts w:ascii="Times New Roman" w:hAnsi="Times New Roman" w:cs="Times New Roman"/>
          <w:b/>
          <w:bCs/>
          <w:sz w:val="24"/>
          <w:szCs w:val="24"/>
          <w:u w:val="single"/>
        </w:rPr>
        <w:t>Objective</w:t>
      </w:r>
    </w:p>
    <w:p w14:paraId="2173886E" w14:textId="77777777" w:rsidR="00F80952" w:rsidRPr="0099026E" w:rsidRDefault="00F80952" w:rsidP="00946814">
      <w:pPr>
        <w:ind w:left="709"/>
        <w:jc w:val="both"/>
        <w:rPr>
          <w:rFonts w:ascii="Times New Roman" w:hAnsi="Times New Roman" w:cs="Times New Roman"/>
          <w:sz w:val="24"/>
          <w:szCs w:val="24"/>
        </w:rPr>
      </w:pPr>
      <w:r w:rsidRPr="0099026E">
        <w:rPr>
          <w:rFonts w:ascii="Times New Roman" w:hAnsi="Times New Roman" w:cs="Times New Roman"/>
          <w:sz w:val="24"/>
          <w:szCs w:val="24"/>
        </w:rPr>
        <w:t>The objective of the Stakeholders Relationship Committee is to ensure the effective redressal of grievances of shareholders and other security holders of the Company, and to enhance their overall experience in dealing with the Company.</w:t>
      </w:r>
    </w:p>
    <w:p w14:paraId="6845A393" w14:textId="77777777" w:rsidR="00F80952" w:rsidRPr="0099026E" w:rsidRDefault="00F80952" w:rsidP="00946814">
      <w:pPr>
        <w:pStyle w:val="ListParagraph"/>
        <w:numPr>
          <w:ilvl w:val="0"/>
          <w:numId w:val="14"/>
        </w:numPr>
        <w:jc w:val="both"/>
        <w:rPr>
          <w:rFonts w:ascii="Times New Roman" w:hAnsi="Times New Roman" w:cs="Times New Roman"/>
          <w:b/>
          <w:bCs/>
          <w:sz w:val="24"/>
          <w:szCs w:val="24"/>
          <w:u w:val="single"/>
        </w:rPr>
      </w:pPr>
      <w:r w:rsidRPr="0099026E">
        <w:rPr>
          <w:rFonts w:ascii="Times New Roman" w:hAnsi="Times New Roman" w:cs="Times New Roman"/>
          <w:b/>
          <w:bCs/>
          <w:sz w:val="24"/>
          <w:szCs w:val="24"/>
          <w:u w:val="single"/>
        </w:rPr>
        <w:lastRenderedPageBreak/>
        <w:t>Powers of the Committee</w:t>
      </w:r>
    </w:p>
    <w:p w14:paraId="52A12068" w14:textId="77777777" w:rsidR="00F80952" w:rsidRPr="0099026E" w:rsidRDefault="00F80952" w:rsidP="00946814">
      <w:pPr>
        <w:ind w:left="709"/>
        <w:jc w:val="both"/>
        <w:rPr>
          <w:rFonts w:ascii="Times New Roman" w:hAnsi="Times New Roman" w:cs="Times New Roman"/>
          <w:sz w:val="24"/>
          <w:szCs w:val="24"/>
        </w:rPr>
      </w:pPr>
      <w:r w:rsidRPr="0099026E">
        <w:rPr>
          <w:rFonts w:ascii="Times New Roman" w:hAnsi="Times New Roman" w:cs="Times New Roman"/>
          <w:sz w:val="24"/>
          <w:szCs w:val="24"/>
        </w:rPr>
        <w:t>The Committee is empowered to:</w:t>
      </w:r>
    </w:p>
    <w:p w14:paraId="0A65261A" w14:textId="57A64F81" w:rsidR="00F80952" w:rsidRPr="0099026E" w:rsidRDefault="00946814" w:rsidP="00946814">
      <w:pPr>
        <w:numPr>
          <w:ilvl w:val="0"/>
          <w:numId w:val="6"/>
        </w:numPr>
        <w:tabs>
          <w:tab w:val="clear" w:pos="720"/>
          <w:tab w:val="left" w:pos="1276"/>
          <w:tab w:val="num" w:pos="1418"/>
        </w:tabs>
        <w:ind w:left="1418" w:hanging="284"/>
        <w:jc w:val="both"/>
        <w:rPr>
          <w:rFonts w:ascii="Times New Roman" w:hAnsi="Times New Roman" w:cs="Times New Roman"/>
          <w:sz w:val="24"/>
          <w:szCs w:val="24"/>
        </w:rPr>
      </w:pPr>
      <w:r w:rsidRPr="0099026E">
        <w:rPr>
          <w:rFonts w:ascii="Times New Roman" w:hAnsi="Times New Roman" w:cs="Times New Roman"/>
          <w:sz w:val="24"/>
          <w:szCs w:val="24"/>
        </w:rPr>
        <w:t xml:space="preserve">   </w:t>
      </w:r>
      <w:r w:rsidR="00F80952" w:rsidRPr="0099026E">
        <w:rPr>
          <w:rFonts w:ascii="Times New Roman" w:hAnsi="Times New Roman" w:cs="Times New Roman"/>
          <w:sz w:val="24"/>
          <w:szCs w:val="24"/>
        </w:rPr>
        <w:t xml:space="preserve">Resolve stakeholder grievances related to share transfers, </w:t>
      </w:r>
      <w:r w:rsidR="00B73CD8" w:rsidRPr="0099026E">
        <w:rPr>
          <w:rFonts w:ascii="Times New Roman" w:hAnsi="Times New Roman" w:cs="Times New Roman"/>
          <w:sz w:val="24"/>
          <w:szCs w:val="24"/>
        </w:rPr>
        <w:t>transmission, dividend</w:t>
      </w:r>
      <w:r w:rsidR="00F80952" w:rsidRPr="0099026E">
        <w:rPr>
          <w:rFonts w:ascii="Times New Roman" w:hAnsi="Times New Roman" w:cs="Times New Roman"/>
          <w:sz w:val="24"/>
          <w:szCs w:val="24"/>
        </w:rPr>
        <w:t xml:space="preserve"> payments, and dematerialization.</w:t>
      </w:r>
    </w:p>
    <w:p w14:paraId="657371A2" w14:textId="77777777" w:rsidR="00F80952" w:rsidRPr="0099026E" w:rsidRDefault="00F80952" w:rsidP="00946814">
      <w:pPr>
        <w:numPr>
          <w:ilvl w:val="0"/>
          <w:numId w:val="6"/>
        </w:numPr>
        <w:tabs>
          <w:tab w:val="clear" w:pos="720"/>
          <w:tab w:val="num" w:pos="1134"/>
        </w:tabs>
        <w:ind w:firstLine="414"/>
        <w:jc w:val="both"/>
        <w:rPr>
          <w:rFonts w:ascii="Times New Roman" w:hAnsi="Times New Roman" w:cs="Times New Roman"/>
          <w:sz w:val="24"/>
          <w:szCs w:val="24"/>
        </w:rPr>
      </w:pPr>
      <w:r w:rsidRPr="0099026E">
        <w:rPr>
          <w:rFonts w:ascii="Times New Roman" w:hAnsi="Times New Roman" w:cs="Times New Roman"/>
          <w:sz w:val="24"/>
          <w:szCs w:val="24"/>
        </w:rPr>
        <w:t>Approve requests for issue of duplicate share certificates.</w:t>
      </w:r>
    </w:p>
    <w:p w14:paraId="18DB4AEA" w14:textId="7A16B67A" w:rsidR="00F80952" w:rsidRPr="0099026E" w:rsidRDefault="00082267" w:rsidP="00082267">
      <w:pPr>
        <w:pStyle w:val="ListParagraph"/>
        <w:numPr>
          <w:ilvl w:val="0"/>
          <w:numId w:val="13"/>
        </w:numPr>
        <w:tabs>
          <w:tab w:val="left" w:pos="1276"/>
        </w:tabs>
        <w:ind w:left="1418"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F80952" w:rsidRPr="0099026E">
        <w:rPr>
          <w:rFonts w:ascii="Times New Roman" w:hAnsi="Times New Roman" w:cs="Times New Roman"/>
          <w:sz w:val="24"/>
          <w:szCs w:val="24"/>
        </w:rPr>
        <w:t>Oversee measures for improving investor services.</w:t>
      </w:r>
    </w:p>
    <w:p w14:paraId="2FD5BE89" w14:textId="6B58EABD" w:rsidR="00F80952" w:rsidRPr="0099026E" w:rsidRDefault="0017195E" w:rsidP="00D92C90">
      <w:pPr>
        <w:pStyle w:val="ListParagraph"/>
        <w:numPr>
          <w:ilvl w:val="0"/>
          <w:numId w:val="14"/>
        </w:numPr>
        <w:jc w:val="both"/>
        <w:rPr>
          <w:rFonts w:ascii="Times New Roman" w:hAnsi="Times New Roman" w:cs="Times New Roman"/>
          <w:b/>
          <w:bCs/>
          <w:sz w:val="24"/>
          <w:szCs w:val="24"/>
          <w:u w:val="single"/>
        </w:rPr>
      </w:pPr>
      <w:r w:rsidRPr="0099026E">
        <w:rPr>
          <w:rFonts w:ascii="Times New Roman" w:hAnsi="Times New Roman" w:cs="Times New Roman"/>
          <w:b/>
          <w:bCs/>
          <w:sz w:val="24"/>
          <w:szCs w:val="24"/>
          <w:u w:val="single"/>
        </w:rPr>
        <w:t>Operational Framework</w:t>
      </w:r>
    </w:p>
    <w:p w14:paraId="35FB6B35" w14:textId="77777777" w:rsidR="00F80952" w:rsidRPr="0099026E" w:rsidRDefault="00F80952" w:rsidP="00D92C90">
      <w:pPr>
        <w:ind w:left="567" w:firstLine="142"/>
        <w:jc w:val="both"/>
        <w:rPr>
          <w:rFonts w:ascii="Times New Roman" w:hAnsi="Times New Roman" w:cs="Times New Roman"/>
          <w:sz w:val="24"/>
          <w:szCs w:val="24"/>
        </w:rPr>
      </w:pPr>
      <w:r w:rsidRPr="0099026E">
        <w:rPr>
          <w:rFonts w:ascii="Times New Roman" w:hAnsi="Times New Roman" w:cs="Times New Roman"/>
          <w:sz w:val="24"/>
          <w:szCs w:val="24"/>
        </w:rPr>
        <w:t>The Stakeholders Relationship Committee shall, inter alia, oversee:</w:t>
      </w:r>
    </w:p>
    <w:p w14:paraId="094C9724" w14:textId="77777777" w:rsidR="00F80952" w:rsidRPr="0099026E" w:rsidRDefault="00F80952" w:rsidP="00D92C90">
      <w:pPr>
        <w:numPr>
          <w:ilvl w:val="0"/>
          <w:numId w:val="7"/>
        </w:numPr>
        <w:tabs>
          <w:tab w:val="clear" w:pos="720"/>
        </w:tabs>
        <w:ind w:left="1276" w:hanging="283"/>
        <w:jc w:val="both"/>
        <w:rPr>
          <w:rFonts w:ascii="Times New Roman" w:hAnsi="Times New Roman" w:cs="Times New Roman"/>
          <w:sz w:val="24"/>
          <w:szCs w:val="24"/>
        </w:rPr>
      </w:pPr>
      <w:r w:rsidRPr="0099026E">
        <w:rPr>
          <w:rFonts w:ascii="Times New Roman" w:hAnsi="Times New Roman" w:cs="Times New Roman"/>
          <w:sz w:val="24"/>
          <w:szCs w:val="24"/>
        </w:rPr>
        <w:t>Redressal of complaints and queries from shareholders, debenture holders, and other security holders.</w:t>
      </w:r>
    </w:p>
    <w:p w14:paraId="5A4EED1C" w14:textId="77777777" w:rsidR="00F80952" w:rsidRPr="0099026E" w:rsidRDefault="00F80952" w:rsidP="00D92C90">
      <w:pPr>
        <w:numPr>
          <w:ilvl w:val="0"/>
          <w:numId w:val="7"/>
        </w:numPr>
        <w:tabs>
          <w:tab w:val="clear" w:pos="720"/>
        </w:tabs>
        <w:ind w:firstLine="273"/>
        <w:jc w:val="both"/>
        <w:rPr>
          <w:rFonts w:ascii="Times New Roman" w:hAnsi="Times New Roman" w:cs="Times New Roman"/>
          <w:sz w:val="24"/>
          <w:szCs w:val="24"/>
        </w:rPr>
      </w:pPr>
      <w:r w:rsidRPr="0099026E">
        <w:rPr>
          <w:rFonts w:ascii="Times New Roman" w:hAnsi="Times New Roman" w:cs="Times New Roman"/>
          <w:sz w:val="24"/>
          <w:szCs w:val="24"/>
        </w:rPr>
        <w:t>Monitoring the performance of the Registrar and Share Transfer Agent.</w:t>
      </w:r>
    </w:p>
    <w:p w14:paraId="20EB2B62" w14:textId="77777777" w:rsidR="00F80952" w:rsidRPr="0099026E" w:rsidRDefault="00F80952" w:rsidP="00D92C90">
      <w:pPr>
        <w:numPr>
          <w:ilvl w:val="0"/>
          <w:numId w:val="7"/>
        </w:numPr>
        <w:tabs>
          <w:tab w:val="clear" w:pos="720"/>
        </w:tabs>
        <w:ind w:firstLine="273"/>
        <w:jc w:val="both"/>
        <w:rPr>
          <w:rFonts w:ascii="Times New Roman" w:hAnsi="Times New Roman" w:cs="Times New Roman"/>
          <w:sz w:val="24"/>
          <w:szCs w:val="24"/>
        </w:rPr>
      </w:pPr>
      <w:r w:rsidRPr="0099026E">
        <w:rPr>
          <w:rFonts w:ascii="Times New Roman" w:hAnsi="Times New Roman" w:cs="Times New Roman"/>
          <w:sz w:val="24"/>
          <w:szCs w:val="24"/>
        </w:rPr>
        <w:t>Ensuring timely and accurate share-related services and communications.</w:t>
      </w:r>
    </w:p>
    <w:p w14:paraId="78EC0AC4" w14:textId="77777777" w:rsidR="00F80952" w:rsidRPr="0099026E" w:rsidRDefault="00F80952" w:rsidP="00D92C90">
      <w:pPr>
        <w:numPr>
          <w:ilvl w:val="0"/>
          <w:numId w:val="7"/>
        </w:numPr>
        <w:tabs>
          <w:tab w:val="clear" w:pos="720"/>
        </w:tabs>
        <w:ind w:left="1276" w:hanging="283"/>
        <w:jc w:val="both"/>
        <w:rPr>
          <w:rFonts w:ascii="Times New Roman" w:hAnsi="Times New Roman" w:cs="Times New Roman"/>
          <w:sz w:val="24"/>
          <w:szCs w:val="24"/>
        </w:rPr>
      </w:pPr>
      <w:r w:rsidRPr="0099026E">
        <w:rPr>
          <w:rFonts w:ascii="Times New Roman" w:hAnsi="Times New Roman" w:cs="Times New Roman"/>
          <w:sz w:val="24"/>
          <w:szCs w:val="24"/>
        </w:rPr>
        <w:t>Reviewing reports on investor grievances and compliance with regulatory requirements.</w:t>
      </w:r>
    </w:p>
    <w:p w14:paraId="39992DD4" w14:textId="77777777" w:rsidR="00B73CD8" w:rsidRDefault="00B73CD8" w:rsidP="00F80952">
      <w:pPr>
        <w:jc w:val="both"/>
        <w:rPr>
          <w:rFonts w:ascii="Times New Roman" w:hAnsi="Times New Roman" w:cs="Times New Roman"/>
          <w:sz w:val="24"/>
          <w:szCs w:val="24"/>
        </w:rPr>
      </w:pPr>
    </w:p>
    <w:p w14:paraId="39CCF5AE" w14:textId="57FEA756" w:rsidR="00B73CD8" w:rsidRPr="00B73CD8" w:rsidRDefault="00B73CD8" w:rsidP="00B73CD8">
      <w:pPr>
        <w:jc w:val="both"/>
        <w:rPr>
          <w:rFonts w:ascii="Times New Roman" w:hAnsi="Times New Roman" w:cs="Times New Roman"/>
          <w:b/>
          <w:bCs/>
          <w:sz w:val="28"/>
          <w:szCs w:val="28"/>
        </w:rPr>
      </w:pPr>
      <w:r w:rsidRPr="00B73CD8">
        <w:rPr>
          <w:rFonts w:ascii="Times New Roman" w:hAnsi="Times New Roman" w:cs="Times New Roman"/>
          <w:b/>
          <w:bCs/>
          <w:sz w:val="28"/>
          <w:szCs w:val="28"/>
        </w:rPr>
        <w:t xml:space="preserve">The current structure of the Company’s committees is outlined in </w:t>
      </w:r>
      <w:hyperlink r:id="rId7" w:history="1">
        <w:r w:rsidR="00AD0353" w:rsidRPr="00AD0353">
          <w:rPr>
            <w:rStyle w:val="Hyperlink"/>
            <w:rFonts w:ascii="Times New Roman" w:hAnsi="Times New Roman" w:cs="Times New Roman"/>
            <w:b/>
            <w:bCs/>
            <w:sz w:val="28"/>
            <w:szCs w:val="28"/>
          </w:rPr>
          <w:t xml:space="preserve">Annexure </w:t>
        </w:r>
        <w:r w:rsidR="00AD0353" w:rsidRPr="00AD0353">
          <w:rPr>
            <w:rStyle w:val="Hyperlink"/>
            <w:rFonts w:ascii="Times New Roman" w:hAnsi="Times New Roman" w:cs="Times New Roman"/>
            <w:b/>
            <w:bCs/>
            <w:sz w:val="28"/>
            <w:szCs w:val="28"/>
          </w:rPr>
          <w:t>I.xlsx</w:t>
        </w:r>
      </w:hyperlink>
    </w:p>
    <w:p w14:paraId="7C8B3B58" w14:textId="06F9D913" w:rsidR="00B73CD8" w:rsidRDefault="00B73CD8" w:rsidP="00F80952">
      <w:pPr>
        <w:jc w:val="both"/>
        <w:rPr>
          <w:rFonts w:ascii="Times New Roman" w:hAnsi="Times New Roman" w:cs="Times New Roman"/>
          <w:b/>
          <w:bCs/>
          <w:sz w:val="24"/>
          <w:szCs w:val="24"/>
        </w:rPr>
      </w:pPr>
    </w:p>
    <w:p w14:paraId="01188044" w14:textId="77777777" w:rsidR="00F51475" w:rsidRPr="0099026E" w:rsidRDefault="00F51475" w:rsidP="00F51475">
      <w:pPr>
        <w:jc w:val="both"/>
        <w:rPr>
          <w:rFonts w:ascii="Times New Roman" w:hAnsi="Times New Roman" w:cs="Times New Roman"/>
          <w:sz w:val="24"/>
          <w:szCs w:val="24"/>
        </w:rPr>
      </w:pPr>
    </w:p>
    <w:sectPr w:rsidR="00F51475" w:rsidRPr="0099026E" w:rsidSect="005F29BE">
      <w:headerReference w:type="default" r:id="rId8"/>
      <w:foot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9A888" w14:textId="77777777" w:rsidR="008C2C34" w:rsidRDefault="008C2C34" w:rsidP="005F29BE">
      <w:pPr>
        <w:spacing w:after="0" w:line="240" w:lineRule="auto"/>
      </w:pPr>
      <w:r>
        <w:separator/>
      </w:r>
    </w:p>
  </w:endnote>
  <w:endnote w:type="continuationSeparator" w:id="0">
    <w:p w14:paraId="4CA25632" w14:textId="77777777" w:rsidR="008C2C34" w:rsidRDefault="008C2C34" w:rsidP="005F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675187"/>
      <w:docPartObj>
        <w:docPartGallery w:val="Page Numbers (Bottom of Page)"/>
        <w:docPartUnique/>
      </w:docPartObj>
    </w:sdtPr>
    <w:sdtEndPr>
      <w:rPr>
        <w:noProof/>
      </w:rPr>
    </w:sdtEndPr>
    <w:sdtContent>
      <w:p w14:paraId="3FF41BD8" w14:textId="77777777" w:rsidR="00384C94" w:rsidRDefault="00384C94" w:rsidP="00384C94">
        <w:pPr>
          <w:pStyle w:val="Header"/>
          <w:jc w:val="center"/>
        </w:pPr>
      </w:p>
      <w:p w14:paraId="239F33EE" w14:textId="4DA4C8C4" w:rsidR="00384C94" w:rsidRPr="005F29BE" w:rsidRDefault="00384C94" w:rsidP="00384C94">
        <w:pPr>
          <w:pStyle w:val="Header"/>
          <w:jc w:val="center"/>
          <w:rPr>
            <w:bCs/>
            <w:color w:val="FFCC66"/>
            <w:sz w:val="24"/>
            <w:szCs w:val="24"/>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5F29BE">
          <w:rPr>
            <w:bCs/>
            <w:color w:val="FFCC66"/>
            <w:sz w:val="24"/>
            <w:szCs w:val="24"/>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COMPOSITION OF VARIOUS COMMITTEES OF BOARD OF DIRECTORS</w:t>
        </w:r>
      </w:p>
      <w:p w14:paraId="63A37825" w14:textId="2D97FA11" w:rsidR="005F29BE" w:rsidRDefault="005F29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909460" w14:textId="5F4D7371" w:rsidR="005F29BE" w:rsidRDefault="005F29BE" w:rsidP="005F29BE">
    <w:pPr>
      <w:pStyle w:val="Footer"/>
      <w:tabs>
        <w:tab w:val="clear" w:pos="4513"/>
        <w:tab w:val="clear" w:pos="9026"/>
        <w:tab w:val="left" w:pos="39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559CF" w14:textId="77777777" w:rsidR="008C2C34" w:rsidRDefault="008C2C34" w:rsidP="005F29BE">
      <w:pPr>
        <w:spacing w:after="0" w:line="240" w:lineRule="auto"/>
      </w:pPr>
      <w:r>
        <w:separator/>
      </w:r>
    </w:p>
  </w:footnote>
  <w:footnote w:type="continuationSeparator" w:id="0">
    <w:p w14:paraId="0BDBF701" w14:textId="77777777" w:rsidR="008C2C34" w:rsidRDefault="008C2C34" w:rsidP="005F2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3DB5" w14:textId="0BC7A644" w:rsidR="005F29BE" w:rsidRPr="005F29BE" w:rsidRDefault="005F29BE" w:rsidP="005F29BE">
    <w:pPr>
      <w:pStyle w:val="Header"/>
      <w:jc w:val="center"/>
      <w:rPr>
        <w:bCs/>
        <w:color w:val="FFCC66"/>
        <w:sz w:val="24"/>
        <w:szCs w:val="24"/>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5F29BE">
      <w:rPr>
        <w:bCs/>
        <w:color w:val="FFCC66"/>
        <w:sz w:val="24"/>
        <w:szCs w:val="24"/>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COMPOSITION OF VARIOUS COMMITTEES OF BOARD OF DIRECTORS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2B33"/>
    <w:multiLevelType w:val="hybridMultilevel"/>
    <w:tmpl w:val="63B48BD6"/>
    <w:lvl w:ilvl="0" w:tplc="40090001">
      <w:start w:val="1"/>
      <w:numFmt w:val="bullet"/>
      <w:lvlText w:val=""/>
      <w:lvlJc w:val="left"/>
      <w:pPr>
        <w:ind w:left="1211" w:hanging="360"/>
      </w:pPr>
      <w:rPr>
        <w:rFonts w:ascii="Symbol" w:hAnsi="Symbol"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abstractNum w:abstractNumId="1" w15:restartNumberingAfterBreak="0">
    <w:nsid w:val="0EB97110"/>
    <w:multiLevelType w:val="hybridMultilevel"/>
    <w:tmpl w:val="12489B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4162CA"/>
    <w:multiLevelType w:val="multilevel"/>
    <w:tmpl w:val="498A9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DE1EFA"/>
    <w:multiLevelType w:val="hybridMultilevel"/>
    <w:tmpl w:val="0332CDD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7085E2E"/>
    <w:multiLevelType w:val="multilevel"/>
    <w:tmpl w:val="B160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327075"/>
    <w:multiLevelType w:val="multilevel"/>
    <w:tmpl w:val="1894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951E7D"/>
    <w:multiLevelType w:val="hybridMultilevel"/>
    <w:tmpl w:val="CA4E973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D3B03D4"/>
    <w:multiLevelType w:val="multilevel"/>
    <w:tmpl w:val="30BE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B0564"/>
    <w:multiLevelType w:val="multilevel"/>
    <w:tmpl w:val="D766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6F5AA0"/>
    <w:multiLevelType w:val="multilevel"/>
    <w:tmpl w:val="0B0E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BD13E2"/>
    <w:multiLevelType w:val="hybridMultilevel"/>
    <w:tmpl w:val="F9ACD3C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6DF668F"/>
    <w:multiLevelType w:val="hybridMultilevel"/>
    <w:tmpl w:val="973659D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3DF334F"/>
    <w:multiLevelType w:val="multilevel"/>
    <w:tmpl w:val="1BD8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D33879"/>
    <w:multiLevelType w:val="hybridMultilevel"/>
    <w:tmpl w:val="09E6F6A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22301268">
    <w:abstractNumId w:val="2"/>
  </w:num>
  <w:num w:numId="2" w16cid:durableId="228881905">
    <w:abstractNumId w:val="9"/>
  </w:num>
  <w:num w:numId="3" w16cid:durableId="493688604">
    <w:abstractNumId w:val="12"/>
  </w:num>
  <w:num w:numId="4" w16cid:durableId="2139882857">
    <w:abstractNumId w:val="8"/>
  </w:num>
  <w:num w:numId="5" w16cid:durableId="543442106">
    <w:abstractNumId w:val="4"/>
  </w:num>
  <w:num w:numId="6" w16cid:durableId="1815023514">
    <w:abstractNumId w:val="7"/>
  </w:num>
  <w:num w:numId="7" w16cid:durableId="885487343">
    <w:abstractNumId w:val="5"/>
  </w:num>
  <w:num w:numId="8" w16cid:durableId="1620137050">
    <w:abstractNumId w:val="11"/>
  </w:num>
  <w:num w:numId="9" w16cid:durableId="1781097049">
    <w:abstractNumId w:val="6"/>
  </w:num>
  <w:num w:numId="10" w16cid:durableId="173350494">
    <w:abstractNumId w:val="3"/>
  </w:num>
  <w:num w:numId="11" w16cid:durableId="925501790">
    <w:abstractNumId w:val="1"/>
  </w:num>
  <w:num w:numId="12" w16cid:durableId="2059553078">
    <w:abstractNumId w:val="10"/>
  </w:num>
  <w:num w:numId="13" w16cid:durableId="70784941">
    <w:abstractNumId w:val="0"/>
  </w:num>
  <w:num w:numId="14" w16cid:durableId="10108331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A4"/>
    <w:rsid w:val="00082267"/>
    <w:rsid w:val="000B7FF6"/>
    <w:rsid w:val="0013066B"/>
    <w:rsid w:val="0017195E"/>
    <w:rsid w:val="001D1631"/>
    <w:rsid w:val="00384C94"/>
    <w:rsid w:val="004A3DB8"/>
    <w:rsid w:val="004A7C2E"/>
    <w:rsid w:val="004E257F"/>
    <w:rsid w:val="005939F2"/>
    <w:rsid w:val="005F29BE"/>
    <w:rsid w:val="005F7716"/>
    <w:rsid w:val="007476D5"/>
    <w:rsid w:val="008012A4"/>
    <w:rsid w:val="00894AB8"/>
    <w:rsid w:val="008C2C34"/>
    <w:rsid w:val="00946814"/>
    <w:rsid w:val="00957AF9"/>
    <w:rsid w:val="00972F4D"/>
    <w:rsid w:val="0099026E"/>
    <w:rsid w:val="00AD0353"/>
    <w:rsid w:val="00B73CD8"/>
    <w:rsid w:val="00BB0CB6"/>
    <w:rsid w:val="00C93518"/>
    <w:rsid w:val="00D21B3E"/>
    <w:rsid w:val="00D92C90"/>
    <w:rsid w:val="00E736CC"/>
    <w:rsid w:val="00EC5025"/>
    <w:rsid w:val="00F51475"/>
    <w:rsid w:val="00F80952"/>
    <w:rsid w:val="00F94387"/>
    <w:rsid w:val="00FB2C26"/>
    <w:rsid w:val="00FC2B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C0C19"/>
  <w15:chartTrackingRefBased/>
  <w15:docId w15:val="{FDF249A3-08C0-4B6B-A498-B1F4C176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2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12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12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12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12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1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2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12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12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12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12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1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2A4"/>
    <w:rPr>
      <w:rFonts w:eastAsiaTheme="majorEastAsia" w:cstheme="majorBidi"/>
      <w:color w:val="272727" w:themeColor="text1" w:themeTint="D8"/>
    </w:rPr>
  </w:style>
  <w:style w:type="paragraph" w:styleId="Title">
    <w:name w:val="Title"/>
    <w:basedOn w:val="Normal"/>
    <w:next w:val="Normal"/>
    <w:link w:val="TitleChar"/>
    <w:uiPriority w:val="10"/>
    <w:qFormat/>
    <w:rsid w:val="00801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2A4"/>
    <w:pPr>
      <w:spacing w:before="160"/>
      <w:jc w:val="center"/>
    </w:pPr>
    <w:rPr>
      <w:i/>
      <w:iCs/>
      <w:color w:val="404040" w:themeColor="text1" w:themeTint="BF"/>
    </w:rPr>
  </w:style>
  <w:style w:type="character" w:customStyle="1" w:styleId="QuoteChar">
    <w:name w:val="Quote Char"/>
    <w:basedOn w:val="DefaultParagraphFont"/>
    <w:link w:val="Quote"/>
    <w:uiPriority w:val="29"/>
    <w:rsid w:val="008012A4"/>
    <w:rPr>
      <w:i/>
      <w:iCs/>
      <w:color w:val="404040" w:themeColor="text1" w:themeTint="BF"/>
    </w:rPr>
  </w:style>
  <w:style w:type="paragraph" w:styleId="ListParagraph">
    <w:name w:val="List Paragraph"/>
    <w:basedOn w:val="Normal"/>
    <w:uiPriority w:val="34"/>
    <w:qFormat/>
    <w:rsid w:val="008012A4"/>
    <w:pPr>
      <w:ind w:left="720"/>
      <w:contextualSpacing/>
    </w:pPr>
  </w:style>
  <w:style w:type="character" w:styleId="IntenseEmphasis">
    <w:name w:val="Intense Emphasis"/>
    <w:basedOn w:val="DefaultParagraphFont"/>
    <w:uiPriority w:val="21"/>
    <w:qFormat/>
    <w:rsid w:val="008012A4"/>
    <w:rPr>
      <w:i/>
      <w:iCs/>
      <w:color w:val="2F5496" w:themeColor="accent1" w:themeShade="BF"/>
    </w:rPr>
  </w:style>
  <w:style w:type="paragraph" w:styleId="IntenseQuote">
    <w:name w:val="Intense Quote"/>
    <w:basedOn w:val="Normal"/>
    <w:next w:val="Normal"/>
    <w:link w:val="IntenseQuoteChar"/>
    <w:uiPriority w:val="30"/>
    <w:qFormat/>
    <w:rsid w:val="008012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12A4"/>
    <w:rPr>
      <w:i/>
      <w:iCs/>
      <w:color w:val="2F5496" w:themeColor="accent1" w:themeShade="BF"/>
    </w:rPr>
  </w:style>
  <w:style w:type="character" w:styleId="IntenseReference">
    <w:name w:val="Intense Reference"/>
    <w:basedOn w:val="DefaultParagraphFont"/>
    <w:uiPriority w:val="32"/>
    <w:qFormat/>
    <w:rsid w:val="008012A4"/>
    <w:rPr>
      <w:b/>
      <w:bCs/>
      <w:smallCaps/>
      <w:color w:val="2F5496" w:themeColor="accent1" w:themeShade="BF"/>
      <w:spacing w:val="5"/>
    </w:rPr>
  </w:style>
  <w:style w:type="paragraph" w:styleId="Header">
    <w:name w:val="header"/>
    <w:basedOn w:val="Normal"/>
    <w:link w:val="HeaderChar"/>
    <w:uiPriority w:val="99"/>
    <w:unhideWhenUsed/>
    <w:rsid w:val="005F2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9BE"/>
  </w:style>
  <w:style w:type="paragraph" w:styleId="Footer">
    <w:name w:val="footer"/>
    <w:basedOn w:val="Normal"/>
    <w:link w:val="FooterChar"/>
    <w:uiPriority w:val="99"/>
    <w:unhideWhenUsed/>
    <w:rsid w:val="005F2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9BE"/>
  </w:style>
  <w:style w:type="character" w:styleId="Hyperlink">
    <w:name w:val="Hyperlink"/>
    <w:basedOn w:val="DefaultParagraphFont"/>
    <w:uiPriority w:val="99"/>
    <w:unhideWhenUsed/>
    <w:rsid w:val="00B73CD8"/>
    <w:rPr>
      <w:color w:val="0563C1" w:themeColor="hyperlink"/>
      <w:u w:val="single"/>
    </w:rPr>
  </w:style>
  <w:style w:type="character" w:styleId="UnresolvedMention">
    <w:name w:val="Unresolved Mention"/>
    <w:basedOn w:val="DefaultParagraphFont"/>
    <w:uiPriority w:val="99"/>
    <w:semiHidden/>
    <w:unhideWhenUsed/>
    <w:rsid w:val="00B73CD8"/>
    <w:rPr>
      <w:color w:val="605E5C"/>
      <w:shd w:val="clear" w:color="auto" w:fill="E1DFDD"/>
    </w:rPr>
  </w:style>
  <w:style w:type="character" w:styleId="FollowedHyperlink">
    <w:name w:val="FollowedHyperlink"/>
    <w:basedOn w:val="DefaultParagraphFont"/>
    <w:uiPriority w:val="99"/>
    <w:semiHidden/>
    <w:unhideWhenUsed/>
    <w:rsid w:val="00B73C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0008">
      <w:bodyDiv w:val="1"/>
      <w:marLeft w:val="0"/>
      <w:marRight w:val="0"/>
      <w:marTop w:val="0"/>
      <w:marBottom w:val="0"/>
      <w:divBdr>
        <w:top w:val="none" w:sz="0" w:space="0" w:color="auto"/>
        <w:left w:val="none" w:sz="0" w:space="0" w:color="auto"/>
        <w:bottom w:val="none" w:sz="0" w:space="0" w:color="auto"/>
        <w:right w:val="none" w:sz="0" w:space="0" w:color="auto"/>
      </w:divBdr>
    </w:div>
    <w:div w:id="229385221">
      <w:bodyDiv w:val="1"/>
      <w:marLeft w:val="0"/>
      <w:marRight w:val="0"/>
      <w:marTop w:val="0"/>
      <w:marBottom w:val="0"/>
      <w:divBdr>
        <w:top w:val="none" w:sz="0" w:space="0" w:color="auto"/>
        <w:left w:val="none" w:sz="0" w:space="0" w:color="auto"/>
        <w:bottom w:val="none" w:sz="0" w:space="0" w:color="auto"/>
        <w:right w:val="none" w:sz="0" w:space="0" w:color="auto"/>
      </w:divBdr>
    </w:div>
    <w:div w:id="779102238">
      <w:bodyDiv w:val="1"/>
      <w:marLeft w:val="0"/>
      <w:marRight w:val="0"/>
      <w:marTop w:val="0"/>
      <w:marBottom w:val="0"/>
      <w:divBdr>
        <w:top w:val="none" w:sz="0" w:space="0" w:color="auto"/>
        <w:left w:val="none" w:sz="0" w:space="0" w:color="auto"/>
        <w:bottom w:val="none" w:sz="0" w:space="0" w:color="auto"/>
        <w:right w:val="none" w:sz="0" w:space="0" w:color="auto"/>
      </w:divBdr>
    </w:div>
    <w:div w:id="1289513501">
      <w:bodyDiv w:val="1"/>
      <w:marLeft w:val="0"/>
      <w:marRight w:val="0"/>
      <w:marTop w:val="0"/>
      <w:marBottom w:val="0"/>
      <w:divBdr>
        <w:top w:val="none" w:sz="0" w:space="0" w:color="auto"/>
        <w:left w:val="none" w:sz="0" w:space="0" w:color="auto"/>
        <w:bottom w:val="none" w:sz="0" w:space="0" w:color="auto"/>
        <w:right w:val="none" w:sz="0" w:space="0" w:color="auto"/>
      </w:divBdr>
    </w:div>
    <w:div w:id="1726444020">
      <w:bodyDiv w:val="1"/>
      <w:marLeft w:val="0"/>
      <w:marRight w:val="0"/>
      <w:marTop w:val="0"/>
      <w:marBottom w:val="0"/>
      <w:divBdr>
        <w:top w:val="none" w:sz="0" w:space="0" w:color="auto"/>
        <w:left w:val="none" w:sz="0" w:space="0" w:color="auto"/>
        <w:bottom w:val="none" w:sz="0" w:space="0" w:color="auto"/>
        <w:right w:val="none" w:sz="0" w:space="0" w:color="auto"/>
      </w:divBdr>
    </w:div>
    <w:div w:id="1728650906">
      <w:bodyDiv w:val="1"/>
      <w:marLeft w:val="0"/>
      <w:marRight w:val="0"/>
      <w:marTop w:val="0"/>
      <w:marBottom w:val="0"/>
      <w:divBdr>
        <w:top w:val="none" w:sz="0" w:space="0" w:color="auto"/>
        <w:left w:val="none" w:sz="0" w:space="0" w:color="auto"/>
        <w:bottom w:val="none" w:sz="0" w:space="0" w:color="auto"/>
        <w:right w:val="none" w:sz="0" w:space="0" w:color="auto"/>
      </w:divBdr>
    </w:div>
    <w:div w:id="1881086278">
      <w:bodyDiv w:val="1"/>
      <w:marLeft w:val="0"/>
      <w:marRight w:val="0"/>
      <w:marTop w:val="0"/>
      <w:marBottom w:val="0"/>
      <w:divBdr>
        <w:top w:val="none" w:sz="0" w:space="0" w:color="auto"/>
        <w:left w:val="none" w:sz="0" w:space="0" w:color="auto"/>
        <w:bottom w:val="none" w:sz="0" w:space="0" w:color="auto"/>
        <w:right w:val="none" w:sz="0" w:space="0" w:color="auto"/>
      </w:divBdr>
    </w:div>
    <w:div w:id="2024355098">
      <w:bodyDiv w:val="1"/>
      <w:marLeft w:val="0"/>
      <w:marRight w:val="0"/>
      <w:marTop w:val="0"/>
      <w:marBottom w:val="0"/>
      <w:divBdr>
        <w:top w:val="none" w:sz="0" w:space="0" w:color="auto"/>
        <w:left w:val="none" w:sz="0" w:space="0" w:color="auto"/>
        <w:bottom w:val="none" w:sz="0" w:space="0" w:color="auto"/>
        <w:right w:val="none" w:sz="0" w:space="0" w:color="auto"/>
      </w:divBdr>
    </w:div>
    <w:div w:id="2053531257">
      <w:bodyDiv w:val="1"/>
      <w:marLeft w:val="0"/>
      <w:marRight w:val="0"/>
      <w:marTop w:val="0"/>
      <w:marBottom w:val="0"/>
      <w:divBdr>
        <w:top w:val="none" w:sz="0" w:space="0" w:color="auto"/>
        <w:left w:val="none" w:sz="0" w:space="0" w:color="auto"/>
        <w:bottom w:val="none" w:sz="0" w:space="0" w:color="auto"/>
        <w:right w:val="none" w:sz="0" w:space="0" w:color="auto"/>
      </w:divBdr>
    </w:div>
    <w:div w:id="209185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nnexure%20I.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Aaadi KCD</dc:creator>
  <cp:keywords/>
  <dc:description/>
  <cp:lastModifiedBy>Aaadi KCD</cp:lastModifiedBy>
  <cp:revision>21</cp:revision>
  <dcterms:created xsi:type="dcterms:W3CDTF">2025-04-25T09:31:00Z</dcterms:created>
  <dcterms:modified xsi:type="dcterms:W3CDTF">2025-04-25T11:12:00Z</dcterms:modified>
</cp:coreProperties>
</file>